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98" w:type="dxa"/>
        <w:tblLayout w:type="fixed"/>
        <w:tblLook w:val="04A0"/>
      </w:tblPr>
      <w:tblGrid>
        <w:gridCol w:w="3168"/>
        <w:gridCol w:w="3020"/>
        <w:gridCol w:w="3010"/>
      </w:tblGrid>
      <w:tr w:rsidR="002E4883" w:rsidTr="00585AA6">
        <w:trPr>
          <w:trHeight w:val="1632"/>
        </w:trPr>
        <w:tc>
          <w:tcPr>
            <w:tcW w:w="3168"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Nip</w:t>
            </w:r>
          </w:p>
        </w:tc>
        <w:tc>
          <w:tcPr>
            <w:tcW w:w="302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Tip</w:t>
            </w:r>
          </w:p>
        </w:tc>
        <w:tc>
          <w:tcPr>
            <w:tcW w:w="301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Rat</w:t>
            </w:r>
          </w:p>
        </w:tc>
      </w:tr>
      <w:tr w:rsidR="002E4883" w:rsidTr="00585AA6">
        <w:trPr>
          <w:trHeight w:val="1632"/>
        </w:trPr>
        <w:tc>
          <w:tcPr>
            <w:tcW w:w="3168"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Cat</w:t>
            </w:r>
          </w:p>
        </w:tc>
        <w:tc>
          <w:tcPr>
            <w:tcW w:w="302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Run</w:t>
            </w:r>
          </w:p>
        </w:tc>
        <w:tc>
          <w:tcPr>
            <w:tcW w:w="301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Fun</w:t>
            </w:r>
          </w:p>
        </w:tc>
      </w:tr>
      <w:tr w:rsidR="002E4883" w:rsidTr="00585AA6">
        <w:trPr>
          <w:trHeight w:val="1632"/>
        </w:trPr>
        <w:tc>
          <w:tcPr>
            <w:tcW w:w="3168"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Cap</w:t>
            </w:r>
          </w:p>
        </w:tc>
        <w:tc>
          <w:tcPr>
            <w:tcW w:w="302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Tap</w:t>
            </w:r>
          </w:p>
        </w:tc>
        <w:tc>
          <w:tcPr>
            <w:tcW w:w="301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Bat</w:t>
            </w:r>
          </w:p>
        </w:tc>
      </w:tr>
      <w:tr w:rsidR="002E4883" w:rsidTr="00585AA6">
        <w:trPr>
          <w:trHeight w:val="1632"/>
        </w:trPr>
        <w:tc>
          <w:tcPr>
            <w:tcW w:w="3168"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Hat</w:t>
            </w:r>
          </w:p>
        </w:tc>
        <w:tc>
          <w:tcPr>
            <w:tcW w:w="302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Rap</w:t>
            </w:r>
          </w:p>
        </w:tc>
        <w:tc>
          <w:tcPr>
            <w:tcW w:w="301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Nap</w:t>
            </w:r>
          </w:p>
        </w:tc>
      </w:tr>
      <w:tr w:rsidR="002E4883" w:rsidTr="00585AA6">
        <w:trPr>
          <w:trHeight w:val="1541"/>
        </w:trPr>
        <w:tc>
          <w:tcPr>
            <w:tcW w:w="3168"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Hip</w:t>
            </w:r>
          </w:p>
        </w:tc>
        <w:tc>
          <w:tcPr>
            <w:tcW w:w="302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Rip</w:t>
            </w:r>
          </w:p>
        </w:tc>
        <w:tc>
          <w:tcPr>
            <w:tcW w:w="301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Sun</w:t>
            </w:r>
          </w:p>
        </w:tc>
      </w:tr>
      <w:tr w:rsidR="002E4883" w:rsidTr="00585AA6">
        <w:trPr>
          <w:trHeight w:val="1632"/>
        </w:trPr>
        <w:tc>
          <w:tcPr>
            <w:tcW w:w="3168"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Bun</w:t>
            </w:r>
          </w:p>
        </w:tc>
        <w:tc>
          <w:tcPr>
            <w:tcW w:w="302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Roll</w:t>
            </w:r>
          </w:p>
        </w:tc>
        <w:tc>
          <w:tcPr>
            <w:tcW w:w="301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Goal</w:t>
            </w:r>
          </w:p>
        </w:tc>
      </w:tr>
      <w:tr w:rsidR="002E4883" w:rsidTr="00585AA6">
        <w:trPr>
          <w:trHeight w:val="1541"/>
        </w:trPr>
        <w:tc>
          <w:tcPr>
            <w:tcW w:w="3168"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Whole</w:t>
            </w:r>
          </w:p>
        </w:tc>
        <w:tc>
          <w:tcPr>
            <w:tcW w:w="302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Toll</w:t>
            </w:r>
          </w:p>
        </w:tc>
        <w:tc>
          <w:tcPr>
            <w:tcW w:w="301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Mine</w:t>
            </w:r>
          </w:p>
        </w:tc>
      </w:tr>
      <w:tr w:rsidR="002E4883" w:rsidTr="00585AA6">
        <w:trPr>
          <w:trHeight w:val="1632"/>
        </w:trPr>
        <w:tc>
          <w:tcPr>
            <w:tcW w:w="3168"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lastRenderedPageBreak/>
              <w:t xml:space="preserve">Bin </w:t>
            </w:r>
          </w:p>
        </w:tc>
        <w:tc>
          <w:tcPr>
            <w:tcW w:w="302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Inn</w:t>
            </w:r>
          </w:p>
        </w:tc>
        <w:tc>
          <w:tcPr>
            <w:tcW w:w="301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Call</w:t>
            </w:r>
          </w:p>
        </w:tc>
      </w:tr>
      <w:tr w:rsidR="002E4883" w:rsidTr="00585AA6">
        <w:trPr>
          <w:trHeight w:val="1632"/>
        </w:trPr>
        <w:tc>
          <w:tcPr>
            <w:tcW w:w="3168"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Shine</w:t>
            </w:r>
          </w:p>
        </w:tc>
        <w:tc>
          <w:tcPr>
            <w:tcW w:w="302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Tin</w:t>
            </w:r>
          </w:p>
        </w:tc>
        <w:tc>
          <w:tcPr>
            <w:tcW w:w="301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Sin</w:t>
            </w:r>
          </w:p>
        </w:tc>
      </w:tr>
      <w:tr w:rsidR="002E4883" w:rsidTr="00585AA6">
        <w:trPr>
          <w:trHeight w:val="1632"/>
        </w:trPr>
        <w:tc>
          <w:tcPr>
            <w:tcW w:w="3168"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Ball</w:t>
            </w:r>
          </w:p>
        </w:tc>
        <w:tc>
          <w:tcPr>
            <w:tcW w:w="302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Hall</w:t>
            </w:r>
          </w:p>
        </w:tc>
        <w:tc>
          <w:tcPr>
            <w:tcW w:w="301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Tall</w:t>
            </w:r>
          </w:p>
        </w:tc>
      </w:tr>
      <w:tr w:rsidR="002E4883" w:rsidTr="00585AA6">
        <w:trPr>
          <w:trHeight w:val="1632"/>
        </w:trPr>
        <w:tc>
          <w:tcPr>
            <w:tcW w:w="3168"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Gill</w:t>
            </w:r>
          </w:p>
        </w:tc>
        <w:tc>
          <w:tcPr>
            <w:tcW w:w="302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Till</w:t>
            </w:r>
          </w:p>
        </w:tc>
        <w:tc>
          <w:tcPr>
            <w:tcW w:w="3010" w:type="dxa"/>
          </w:tcPr>
          <w:p w:rsidR="002E4883" w:rsidRPr="00585AA6" w:rsidRDefault="002E4883">
            <w:pPr>
              <w:rPr>
                <w:rFonts w:ascii="Adobe Caslon Pro" w:hAnsi="Adobe Caslon Pro"/>
                <w:color w:val="E36C0A" w:themeColor="accent6" w:themeShade="BF"/>
                <w:sz w:val="72"/>
                <w:szCs w:val="72"/>
              </w:rPr>
            </w:pPr>
            <w:r w:rsidRPr="00585AA6">
              <w:rPr>
                <w:rFonts w:ascii="Adobe Caslon Pro" w:hAnsi="Adobe Caslon Pro"/>
                <w:color w:val="E36C0A" w:themeColor="accent6" w:themeShade="BF"/>
                <w:sz w:val="72"/>
                <w:szCs w:val="72"/>
              </w:rPr>
              <w:t>Morning</w:t>
            </w:r>
          </w:p>
        </w:tc>
      </w:tr>
      <w:tr w:rsidR="002E4883" w:rsidTr="00585AA6">
        <w:trPr>
          <w:trHeight w:val="1632"/>
        </w:trPr>
        <w:tc>
          <w:tcPr>
            <w:tcW w:w="3168" w:type="dxa"/>
          </w:tcPr>
          <w:p w:rsidR="002E4883" w:rsidRPr="00585AA6" w:rsidRDefault="002E4883">
            <w:pPr>
              <w:rPr>
                <w:rFonts w:ascii="Adobe Caslon Pro" w:hAnsi="Adobe Caslon Pro"/>
                <w:color w:val="E36C0A" w:themeColor="accent6" w:themeShade="BF"/>
                <w:sz w:val="72"/>
                <w:szCs w:val="72"/>
              </w:rPr>
            </w:pPr>
            <w:r w:rsidRPr="00585AA6">
              <w:rPr>
                <w:rFonts w:ascii="Adobe Caslon Pro" w:hAnsi="Adobe Caslon Pro"/>
                <w:color w:val="E36C0A" w:themeColor="accent6" w:themeShade="BF"/>
                <w:sz w:val="72"/>
                <w:szCs w:val="72"/>
              </w:rPr>
              <w:t>Warning</w:t>
            </w:r>
          </w:p>
        </w:tc>
        <w:tc>
          <w:tcPr>
            <w:tcW w:w="302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Start</w:t>
            </w:r>
          </w:p>
        </w:tc>
        <w:tc>
          <w:tcPr>
            <w:tcW w:w="301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Cart</w:t>
            </w:r>
          </w:p>
        </w:tc>
      </w:tr>
      <w:tr w:rsidR="002E4883" w:rsidTr="00585AA6">
        <w:trPr>
          <w:trHeight w:val="1632"/>
        </w:trPr>
        <w:tc>
          <w:tcPr>
            <w:tcW w:w="3168"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Smart</w:t>
            </w:r>
          </w:p>
        </w:tc>
        <w:tc>
          <w:tcPr>
            <w:tcW w:w="302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Heart</w:t>
            </w:r>
          </w:p>
        </w:tc>
        <w:tc>
          <w:tcPr>
            <w:tcW w:w="301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Sharp</w:t>
            </w:r>
          </w:p>
        </w:tc>
      </w:tr>
      <w:tr w:rsidR="002E4883" w:rsidTr="00585AA6">
        <w:trPr>
          <w:trHeight w:val="1632"/>
        </w:trPr>
        <w:tc>
          <w:tcPr>
            <w:tcW w:w="3168"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Harp</w:t>
            </w:r>
          </w:p>
        </w:tc>
        <w:tc>
          <w:tcPr>
            <w:tcW w:w="302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Mark</w:t>
            </w:r>
          </w:p>
        </w:tc>
        <w:tc>
          <w:tcPr>
            <w:tcW w:w="301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Bark</w:t>
            </w:r>
          </w:p>
        </w:tc>
      </w:tr>
      <w:tr w:rsidR="002E4883" w:rsidTr="00585AA6">
        <w:trPr>
          <w:trHeight w:val="1632"/>
        </w:trPr>
        <w:tc>
          <w:tcPr>
            <w:tcW w:w="3168"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Stole</w:t>
            </w:r>
          </w:p>
        </w:tc>
        <w:tc>
          <w:tcPr>
            <w:tcW w:w="302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Hole</w:t>
            </w:r>
          </w:p>
        </w:tc>
        <w:tc>
          <w:tcPr>
            <w:tcW w:w="301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Make</w:t>
            </w:r>
          </w:p>
        </w:tc>
      </w:tr>
      <w:tr w:rsidR="002E4883" w:rsidTr="00585AA6">
        <w:trPr>
          <w:trHeight w:val="1632"/>
        </w:trPr>
        <w:tc>
          <w:tcPr>
            <w:tcW w:w="3168"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Pail</w:t>
            </w:r>
          </w:p>
        </w:tc>
        <w:tc>
          <w:tcPr>
            <w:tcW w:w="302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Rail</w:t>
            </w:r>
          </w:p>
        </w:tc>
        <w:tc>
          <w:tcPr>
            <w:tcW w:w="3010" w:type="dxa"/>
          </w:tcPr>
          <w:p w:rsidR="002E4883" w:rsidRPr="00585AA6" w:rsidRDefault="002E4883">
            <w:pPr>
              <w:rPr>
                <w:rFonts w:ascii="Adobe Caslon Pro" w:hAnsi="Adobe Caslon Pro"/>
                <w:color w:val="E36C0A" w:themeColor="accent6" w:themeShade="BF"/>
                <w:sz w:val="96"/>
                <w:szCs w:val="96"/>
              </w:rPr>
            </w:pPr>
            <w:r w:rsidRPr="00585AA6">
              <w:rPr>
                <w:rFonts w:ascii="Adobe Caslon Pro" w:hAnsi="Adobe Caslon Pro"/>
                <w:color w:val="E36C0A" w:themeColor="accent6" w:themeShade="BF"/>
                <w:sz w:val="96"/>
                <w:szCs w:val="96"/>
              </w:rPr>
              <w:t>Bake</w:t>
            </w:r>
          </w:p>
        </w:tc>
      </w:tr>
    </w:tbl>
    <w:p w:rsidR="00585AA6" w:rsidRDefault="00585AA6"/>
    <w:p w:rsidR="00585AA6" w:rsidRDefault="00585AA6"/>
    <w:p w:rsidR="00585AA6" w:rsidRDefault="00585AA6"/>
    <w:p w:rsidR="00585AA6" w:rsidRDefault="00585AA6"/>
    <w:p w:rsidR="00585AA6" w:rsidRDefault="00585AA6"/>
    <w:p w:rsidR="00585AA6" w:rsidRDefault="00585AA6"/>
    <w:p w:rsidR="00585AA6" w:rsidRDefault="00585AA6"/>
    <w:p w:rsidR="00585AA6" w:rsidRDefault="00585AA6"/>
    <w:p w:rsidR="00585AA6" w:rsidRDefault="00585AA6"/>
    <w:p w:rsidR="00585AA6" w:rsidRDefault="00585AA6"/>
    <w:p w:rsidR="00585AA6" w:rsidRDefault="00585AA6"/>
    <w:p w:rsidR="00585AA6" w:rsidRDefault="00585AA6"/>
    <w:p w:rsidR="00585AA6" w:rsidRDefault="00585AA6"/>
    <w:p w:rsidR="00585AA6" w:rsidRDefault="00585AA6"/>
    <w:p w:rsidR="00585AA6" w:rsidRDefault="00585AA6"/>
    <w:p w:rsidR="00585AA6" w:rsidRDefault="00585AA6"/>
    <w:p w:rsidR="00585AA6" w:rsidRDefault="00585AA6"/>
    <w:p w:rsidR="00585AA6" w:rsidRDefault="00585AA6"/>
    <w:p w:rsidR="00585AA6" w:rsidRDefault="00585AA6"/>
    <w:tbl>
      <w:tblPr>
        <w:tblStyle w:val="TableGrid"/>
        <w:tblW w:w="0" w:type="auto"/>
        <w:tblLook w:val="04A0"/>
      </w:tblPr>
      <w:tblGrid>
        <w:gridCol w:w="3152"/>
        <w:gridCol w:w="3152"/>
        <w:gridCol w:w="3152"/>
      </w:tblGrid>
      <w:tr w:rsidR="00585AA6" w:rsidTr="00585AA6">
        <w:trPr>
          <w:trHeight w:val="1545"/>
        </w:trPr>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Tape</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Ate</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Rate</w:t>
            </w:r>
          </w:p>
        </w:tc>
      </w:tr>
      <w:tr w:rsidR="00585AA6" w:rsidTr="00585AA6">
        <w:trPr>
          <w:trHeight w:val="1459"/>
        </w:trPr>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Rain</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Aunt</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Cape</w:t>
            </w:r>
          </w:p>
        </w:tc>
      </w:tr>
      <w:tr w:rsidR="00585AA6" w:rsidTr="00585AA6">
        <w:trPr>
          <w:trHeight w:val="1459"/>
        </w:trPr>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Staple</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Take</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Mate</w:t>
            </w:r>
          </w:p>
        </w:tc>
      </w:tr>
      <w:tr w:rsidR="00585AA6" w:rsidTr="00585AA6">
        <w:trPr>
          <w:trHeight w:val="1459"/>
        </w:trPr>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Make</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Bake</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Grate</w:t>
            </w:r>
          </w:p>
        </w:tc>
      </w:tr>
      <w:tr w:rsidR="00585AA6" w:rsidTr="00585AA6">
        <w:trPr>
          <w:trHeight w:val="1545"/>
        </w:trPr>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Great</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Steak</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Cake</w:t>
            </w:r>
          </w:p>
        </w:tc>
      </w:tr>
      <w:tr w:rsidR="00585AA6" w:rsidTr="00585AA6">
        <w:trPr>
          <w:trHeight w:val="1545"/>
        </w:trPr>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Pace</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Race</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Ace</w:t>
            </w:r>
          </w:p>
        </w:tc>
      </w:tr>
      <w:tr w:rsidR="00585AA6" w:rsidTr="00585AA6">
        <w:trPr>
          <w:trHeight w:val="1459"/>
        </w:trPr>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Map</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Cat</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Ran</w:t>
            </w:r>
          </w:p>
        </w:tc>
      </w:tr>
      <w:tr w:rsidR="00585AA6" w:rsidTr="00585AA6">
        <w:trPr>
          <w:trHeight w:val="1545"/>
        </w:trPr>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Tap</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Rap</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Rat</w:t>
            </w:r>
          </w:p>
        </w:tc>
      </w:tr>
      <w:tr w:rsidR="00585AA6" w:rsidTr="00585AA6">
        <w:trPr>
          <w:trHeight w:val="1545"/>
        </w:trPr>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Gap</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Apple</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Rattle</w:t>
            </w:r>
          </w:p>
        </w:tc>
      </w:tr>
      <w:tr w:rsidR="00585AA6" w:rsidTr="00585AA6">
        <w:trPr>
          <w:trHeight w:val="1545"/>
        </w:trPr>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Rack</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Cattle</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Bat</w:t>
            </w:r>
          </w:p>
        </w:tc>
      </w:tr>
      <w:tr w:rsidR="00585AA6" w:rsidTr="00585AA6">
        <w:trPr>
          <w:trHeight w:val="1545"/>
        </w:trPr>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Mat</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Fat</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Sat</w:t>
            </w:r>
          </w:p>
        </w:tc>
      </w:tr>
      <w:tr w:rsidR="00585AA6" w:rsidTr="00585AA6">
        <w:trPr>
          <w:trHeight w:val="1545"/>
        </w:trPr>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Chat</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Cackle</w:t>
            </w:r>
          </w:p>
        </w:tc>
        <w:tc>
          <w:tcPr>
            <w:tcW w:w="3152" w:type="dxa"/>
          </w:tcPr>
          <w:p w:rsidR="00585AA6" w:rsidRPr="00585AA6" w:rsidRDefault="00585AA6">
            <w:pPr>
              <w:rPr>
                <w:rFonts w:ascii="Andalus" w:hAnsi="Andalus" w:cs="Andalus"/>
                <w:color w:val="76923C" w:themeColor="accent3" w:themeShade="BF"/>
                <w:sz w:val="96"/>
                <w:szCs w:val="96"/>
              </w:rPr>
            </w:pPr>
            <w:r w:rsidRPr="00585AA6">
              <w:rPr>
                <w:rFonts w:ascii="Andalus" w:hAnsi="Andalus" w:cs="Andalus"/>
                <w:color w:val="76923C" w:themeColor="accent3" w:themeShade="BF"/>
                <w:sz w:val="96"/>
                <w:szCs w:val="96"/>
              </w:rPr>
              <w:t>Tackle</w:t>
            </w:r>
          </w:p>
          <w:p w:rsidR="00585AA6" w:rsidRPr="00585AA6" w:rsidRDefault="00585AA6">
            <w:pPr>
              <w:rPr>
                <w:rFonts w:ascii="Andalus" w:hAnsi="Andalus" w:cs="Andalus"/>
                <w:color w:val="76923C" w:themeColor="accent3" w:themeShade="BF"/>
                <w:sz w:val="96"/>
                <w:szCs w:val="96"/>
              </w:rPr>
            </w:pPr>
          </w:p>
        </w:tc>
      </w:tr>
    </w:tbl>
    <w:p w:rsidR="00585AA6" w:rsidRDefault="00585AA6"/>
    <w:p w:rsidR="00E45442" w:rsidRDefault="00E45442"/>
    <w:p w:rsidR="00E45442" w:rsidRDefault="00E45442"/>
    <w:p w:rsidR="00E45442" w:rsidRDefault="00E45442"/>
    <w:p w:rsidR="00E45442" w:rsidRDefault="00E45442"/>
    <w:p w:rsidR="00E45442" w:rsidRDefault="00E45442"/>
    <w:p w:rsidR="00E45442" w:rsidRDefault="00E45442"/>
    <w:p w:rsidR="00E45442" w:rsidRDefault="00E45442"/>
    <w:p w:rsidR="00E45442" w:rsidRDefault="00E45442"/>
    <w:p w:rsidR="00E45442" w:rsidRDefault="00E45442"/>
    <w:p w:rsidR="00E45442" w:rsidRPr="0040641F" w:rsidRDefault="00E45442" w:rsidP="00E45442">
      <w:pPr>
        <w:jc w:val="center"/>
        <w:rPr>
          <w:b/>
          <w:sz w:val="24"/>
          <w:szCs w:val="24"/>
          <w:u w:val="single"/>
        </w:rPr>
      </w:pPr>
      <w:r w:rsidRPr="0040641F">
        <w:rPr>
          <w:b/>
          <w:sz w:val="24"/>
          <w:szCs w:val="24"/>
          <w:u w:val="single"/>
        </w:rPr>
        <w:t>KWL Chart</w:t>
      </w:r>
    </w:p>
    <w:p w:rsidR="00E45442" w:rsidRDefault="00E45442" w:rsidP="00E45442">
      <w:pPr>
        <w:jc w:val="center"/>
      </w:pPr>
    </w:p>
    <w:p w:rsidR="00E45442" w:rsidRPr="0040641F" w:rsidRDefault="00E45442" w:rsidP="00E45442">
      <w:pPr>
        <w:rPr>
          <w:b/>
        </w:rPr>
      </w:pPr>
      <w:r w:rsidRPr="0040641F">
        <w:rPr>
          <w:b/>
        </w:rPr>
        <w:t>Directions: This activity is to be done alone</w:t>
      </w:r>
    </w:p>
    <w:p w:rsidR="00E45442" w:rsidRDefault="00E45442" w:rsidP="00E45442">
      <w:pPr>
        <w:pStyle w:val="ListParagraph"/>
        <w:numPr>
          <w:ilvl w:val="0"/>
          <w:numId w:val="1"/>
        </w:numPr>
      </w:pPr>
      <w:r>
        <w:t>Before you read one of the Non-Fiction books write down what you already know about wolves in the “Know” column.</w:t>
      </w:r>
    </w:p>
    <w:p w:rsidR="00E45442" w:rsidRDefault="00E45442" w:rsidP="00E45442">
      <w:pPr>
        <w:pStyle w:val="ListParagraph"/>
        <w:numPr>
          <w:ilvl w:val="0"/>
          <w:numId w:val="1"/>
        </w:numPr>
      </w:pPr>
      <w:r>
        <w:t>After writing what you know, write what you want to know in the “Want” column</w:t>
      </w:r>
    </w:p>
    <w:p w:rsidR="00E45442" w:rsidRDefault="00E45442" w:rsidP="00E45442">
      <w:pPr>
        <w:pStyle w:val="ListParagraph"/>
        <w:numPr>
          <w:ilvl w:val="0"/>
          <w:numId w:val="1"/>
        </w:numPr>
      </w:pPr>
      <w:r>
        <w:t>Read one of the Non-Fiction books</w:t>
      </w:r>
    </w:p>
    <w:p w:rsidR="00E45442" w:rsidRDefault="00E45442" w:rsidP="00E45442">
      <w:pPr>
        <w:pStyle w:val="ListParagraph"/>
        <w:numPr>
          <w:ilvl w:val="0"/>
          <w:numId w:val="1"/>
        </w:numPr>
      </w:pPr>
      <w:r>
        <w:t>When you’re done, write what you learned in the “Learn” column</w:t>
      </w:r>
    </w:p>
    <w:p w:rsidR="00E45442" w:rsidRDefault="00E45442" w:rsidP="00E45442">
      <w:pPr>
        <w:pStyle w:val="ListParagraph"/>
        <w:numPr>
          <w:ilvl w:val="0"/>
          <w:numId w:val="1"/>
        </w:numPr>
      </w:pPr>
      <w:r>
        <w:t>Write the Title and the Author of the book you read in the given blanks</w:t>
      </w:r>
    </w:p>
    <w:p w:rsidR="00E45442" w:rsidRDefault="00E45442" w:rsidP="00E45442">
      <w:r>
        <w:t>Title: ___________________________________________________________________________</w:t>
      </w:r>
    </w:p>
    <w:p w:rsidR="00E45442" w:rsidRDefault="00E45442" w:rsidP="00E45442">
      <w:r>
        <w:t>Author: ________________________________________________________</w:t>
      </w:r>
    </w:p>
    <w:tbl>
      <w:tblPr>
        <w:tblpPr w:leftFromText="180" w:rightFromText="180" w:vertAnchor="page" w:horzAnchor="margin" w:tblpY="65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E45442" w:rsidRPr="00CE73E3" w:rsidTr="008025BA">
        <w:tc>
          <w:tcPr>
            <w:tcW w:w="3192" w:type="dxa"/>
          </w:tcPr>
          <w:p w:rsidR="00E45442" w:rsidRPr="00CE73E3" w:rsidRDefault="00E45442" w:rsidP="008025BA">
            <w:pPr>
              <w:spacing w:after="0" w:line="240" w:lineRule="auto"/>
              <w:jc w:val="center"/>
            </w:pPr>
            <w:r w:rsidRPr="00CE73E3">
              <w:t>Know</w:t>
            </w:r>
          </w:p>
        </w:tc>
        <w:tc>
          <w:tcPr>
            <w:tcW w:w="3192" w:type="dxa"/>
          </w:tcPr>
          <w:p w:rsidR="00E45442" w:rsidRPr="00CE73E3" w:rsidRDefault="00E45442" w:rsidP="008025BA">
            <w:pPr>
              <w:spacing w:after="0" w:line="240" w:lineRule="auto"/>
              <w:jc w:val="center"/>
            </w:pPr>
            <w:r w:rsidRPr="00CE73E3">
              <w:t>Want</w:t>
            </w:r>
          </w:p>
        </w:tc>
        <w:tc>
          <w:tcPr>
            <w:tcW w:w="3192" w:type="dxa"/>
          </w:tcPr>
          <w:p w:rsidR="00E45442" w:rsidRPr="00CE73E3" w:rsidRDefault="00E45442" w:rsidP="008025BA">
            <w:pPr>
              <w:spacing w:after="0" w:line="240" w:lineRule="auto"/>
              <w:jc w:val="center"/>
            </w:pPr>
            <w:r w:rsidRPr="00CE73E3">
              <w:t>Learn</w:t>
            </w:r>
          </w:p>
        </w:tc>
      </w:tr>
      <w:tr w:rsidR="00E45442" w:rsidRPr="00CE73E3" w:rsidTr="008025BA">
        <w:trPr>
          <w:trHeight w:val="6758"/>
        </w:trPr>
        <w:tc>
          <w:tcPr>
            <w:tcW w:w="3192" w:type="dxa"/>
          </w:tcPr>
          <w:p w:rsidR="00E45442" w:rsidRPr="00CE73E3" w:rsidRDefault="00E45442" w:rsidP="008025BA">
            <w:pPr>
              <w:spacing w:after="0" w:line="240" w:lineRule="auto"/>
              <w:jc w:val="center"/>
            </w:pPr>
          </w:p>
        </w:tc>
        <w:tc>
          <w:tcPr>
            <w:tcW w:w="3192" w:type="dxa"/>
          </w:tcPr>
          <w:p w:rsidR="00E45442" w:rsidRPr="00CE73E3" w:rsidRDefault="00E45442" w:rsidP="008025BA">
            <w:pPr>
              <w:spacing w:after="0" w:line="240" w:lineRule="auto"/>
              <w:jc w:val="center"/>
            </w:pPr>
          </w:p>
        </w:tc>
        <w:tc>
          <w:tcPr>
            <w:tcW w:w="3192" w:type="dxa"/>
          </w:tcPr>
          <w:p w:rsidR="00E45442" w:rsidRPr="00CE73E3" w:rsidRDefault="00E45442" w:rsidP="008025BA">
            <w:pPr>
              <w:spacing w:after="0" w:line="240" w:lineRule="auto"/>
              <w:jc w:val="center"/>
            </w:pPr>
          </w:p>
        </w:tc>
      </w:tr>
    </w:tbl>
    <w:p w:rsidR="00E45442" w:rsidRDefault="00E45442" w:rsidP="00E45442"/>
    <w:p w:rsidR="00E45442" w:rsidRDefault="00E45442" w:rsidP="00E45442"/>
    <w:p w:rsidR="00E45442" w:rsidRPr="0040641F" w:rsidRDefault="00E45442" w:rsidP="00E45442">
      <w:pPr>
        <w:jc w:val="center"/>
        <w:rPr>
          <w:b/>
          <w:sz w:val="36"/>
          <w:szCs w:val="36"/>
          <w:u w:val="single"/>
        </w:rPr>
      </w:pPr>
      <w:r>
        <w:rPr>
          <w:b/>
          <w:sz w:val="36"/>
          <w:szCs w:val="36"/>
          <w:u w:val="single"/>
        </w:rPr>
        <w:t xml:space="preserve">Write a </w:t>
      </w:r>
      <w:r w:rsidRPr="0040641F">
        <w:rPr>
          <w:b/>
          <w:sz w:val="36"/>
          <w:szCs w:val="36"/>
          <w:u w:val="single"/>
        </w:rPr>
        <w:t>Letter</w:t>
      </w:r>
    </w:p>
    <w:p w:rsidR="00E45442" w:rsidRDefault="00E45442" w:rsidP="00E45442">
      <w:r>
        <w:t xml:space="preserve">After reading one or more of the Non-Fiction books, and using the space given, </w:t>
      </w:r>
      <w:proofErr w:type="gramStart"/>
      <w:r>
        <w:t>write</w:t>
      </w:r>
      <w:proofErr w:type="gramEnd"/>
      <w:r>
        <w:t xml:space="preserve"> a letter to anyone you like about the importance of wolves in nature.  You may use your prior knowledge of the food chain and habitats to help you, and make sure you talk about the books you read and got your information from in your letter.  Make sure to use all the parts of a letter including a heading, body, and a closing.</w:t>
      </w:r>
    </w:p>
    <w:p w:rsidR="00E45442" w:rsidRDefault="00E45442" w:rsidP="00E45442"/>
    <w:p w:rsidR="00E45442" w:rsidRDefault="00E45442" w:rsidP="00E4544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442" w:rsidRDefault="00E45442" w:rsidP="00E4544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442" w:rsidRDefault="00E45442" w:rsidP="00E45442"/>
    <w:p w:rsidR="00E45442" w:rsidRDefault="00E45442" w:rsidP="00E45442">
      <w:pPr>
        <w:jc w:val="center"/>
        <w:rPr>
          <w:b/>
          <w:sz w:val="44"/>
          <w:szCs w:val="44"/>
          <w:u w:val="single"/>
        </w:rPr>
      </w:pPr>
      <w:r w:rsidRPr="00F06382">
        <w:rPr>
          <w:b/>
          <w:sz w:val="44"/>
          <w:szCs w:val="44"/>
          <w:u w:val="single"/>
        </w:rPr>
        <w:t>Draw a Picture</w:t>
      </w:r>
    </w:p>
    <w:p w:rsidR="00E45442" w:rsidRPr="00F06382" w:rsidRDefault="00E45442" w:rsidP="00E45442">
      <w:r>
        <w:t xml:space="preserve">Can you draw a picture the same way the artist in Gray Wolf’s Search did?  </w:t>
      </w:r>
      <w:proofErr w:type="gramStart"/>
      <w:r>
        <w:t>Or The Wolves in the Walls?</w:t>
      </w:r>
      <w:proofErr w:type="gramEnd"/>
      <w:r>
        <w:t xml:space="preserve"> Try it!  After reading Gary Wolf’s Search or The Wolves in the Wall, try and draw of yourself and Sybil in the same style.  Have fun with 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E45442" w:rsidRPr="00CE73E3" w:rsidTr="008025BA">
        <w:trPr>
          <w:trHeight w:val="10250"/>
        </w:trPr>
        <w:tc>
          <w:tcPr>
            <w:tcW w:w="9576" w:type="dxa"/>
          </w:tcPr>
          <w:p w:rsidR="00E45442" w:rsidRPr="00CE73E3" w:rsidRDefault="00E45442" w:rsidP="008025BA">
            <w:pPr>
              <w:spacing w:after="0" w:line="240" w:lineRule="auto"/>
            </w:pPr>
          </w:p>
        </w:tc>
      </w:tr>
    </w:tbl>
    <w:p w:rsidR="00E45442" w:rsidRDefault="00E45442" w:rsidP="00E45442"/>
    <w:p w:rsidR="00E45442" w:rsidRPr="007A64DB" w:rsidRDefault="00E45442" w:rsidP="00E45442">
      <w:pPr>
        <w:jc w:val="center"/>
        <w:rPr>
          <w:b/>
          <w:sz w:val="28"/>
          <w:szCs w:val="28"/>
          <w:u w:val="single"/>
        </w:rPr>
      </w:pPr>
      <w:r w:rsidRPr="007A64DB">
        <w:rPr>
          <w:b/>
          <w:sz w:val="28"/>
          <w:szCs w:val="28"/>
          <w:u w:val="single"/>
        </w:rPr>
        <w:t>4</w:t>
      </w:r>
      <w:r w:rsidRPr="007A64DB">
        <w:rPr>
          <w:b/>
          <w:sz w:val="28"/>
          <w:szCs w:val="28"/>
          <w:u w:val="single"/>
          <w:vertAlign w:val="superscript"/>
        </w:rPr>
        <w:t>th</w:t>
      </w:r>
      <w:r w:rsidRPr="007A64DB">
        <w:rPr>
          <w:b/>
          <w:sz w:val="28"/>
          <w:szCs w:val="28"/>
          <w:u w:val="single"/>
        </w:rPr>
        <w:t xml:space="preserve"> Grade Read to Discover</w:t>
      </w:r>
    </w:p>
    <w:p w:rsidR="00E45442" w:rsidRDefault="00E45442" w:rsidP="00E45442">
      <w:pPr>
        <w:rPr>
          <w:sz w:val="28"/>
          <w:szCs w:val="28"/>
        </w:rPr>
      </w:pPr>
      <w:r>
        <w:rPr>
          <w:sz w:val="28"/>
          <w:szCs w:val="28"/>
        </w:rPr>
        <w:t>Dear Parents,</w:t>
      </w:r>
    </w:p>
    <w:p w:rsidR="00E45442" w:rsidRDefault="00E45442" w:rsidP="00E45442">
      <w:pPr>
        <w:rPr>
          <w:sz w:val="28"/>
          <w:szCs w:val="28"/>
        </w:rPr>
      </w:pPr>
      <w:r>
        <w:rPr>
          <w:sz w:val="28"/>
          <w:szCs w:val="28"/>
        </w:rPr>
        <w:tab/>
        <w:t xml:space="preserve">If you are reading this then your child is the next recipient of our traveling book bag!  Read to </w:t>
      </w:r>
      <w:proofErr w:type="gramStart"/>
      <w:r>
        <w:rPr>
          <w:sz w:val="28"/>
          <w:szCs w:val="28"/>
        </w:rPr>
        <w:t>Discover</w:t>
      </w:r>
      <w:proofErr w:type="gramEnd"/>
      <w:r>
        <w:rPr>
          <w:sz w:val="28"/>
          <w:szCs w:val="28"/>
        </w:rPr>
        <w:t xml:space="preserve"> is a program I created to get children interested in reading and help with fluency, building knowledge and just having fun with books in general.  Each Read to </w:t>
      </w:r>
      <w:proofErr w:type="gramStart"/>
      <w:r>
        <w:rPr>
          <w:sz w:val="28"/>
          <w:szCs w:val="28"/>
        </w:rPr>
        <w:t>Discover</w:t>
      </w:r>
      <w:proofErr w:type="gramEnd"/>
      <w:r>
        <w:rPr>
          <w:sz w:val="28"/>
          <w:szCs w:val="28"/>
        </w:rPr>
        <w:t xml:space="preserve"> bag is handed out Monday and filled with 4-6 books pertaining to a certain topic and 3 activities for your child to complete before returning all of the books and the bag to school on Friday.  I also include a toy or stuffed animal for the children as well, which is to be returned with the bag.  </w:t>
      </w:r>
    </w:p>
    <w:p w:rsidR="00E45442" w:rsidRDefault="00E45442" w:rsidP="00E45442">
      <w:pPr>
        <w:ind w:firstLine="720"/>
        <w:rPr>
          <w:sz w:val="28"/>
          <w:szCs w:val="28"/>
        </w:rPr>
      </w:pPr>
      <w:r>
        <w:rPr>
          <w:sz w:val="28"/>
          <w:szCs w:val="28"/>
        </w:rPr>
        <w:t xml:space="preserve">For this week, the topic is wolves, and I have sent along Sybil the Wolf as a toy for your child to play with for the week and keep with them while they are reading.  In this book bag you will find books that may be above your child’s reading level and books that are below it.  For books that are above your child’s level I encourage you to read these books with them, and for books below their level they are not required to read these but </w:t>
      </w:r>
      <w:proofErr w:type="gramStart"/>
      <w:r>
        <w:rPr>
          <w:sz w:val="28"/>
          <w:szCs w:val="28"/>
        </w:rPr>
        <w:t>may</w:t>
      </w:r>
      <w:proofErr w:type="gramEnd"/>
      <w:r>
        <w:rPr>
          <w:sz w:val="28"/>
          <w:szCs w:val="28"/>
        </w:rPr>
        <w:t xml:space="preserve"> if they like.  </w:t>
      </w:r>
    </w:p>
    <w:p w:rsidR="00E45442" w:rsidRDefault="00E45442" w:rsidP="00E45442">
      <w:pPr>
        <w:ind w:firstLine="720"/>
        <w:rPr>
          <w:sz w:val="28"/>
          <w:szCs w:val="28"/>
        </w:rPr>
      </w:pPr>
      <w:r>
        <w:rPr>
          <w:sz w:val="28"/>
          <w:szCs w:val="28"/>
        </w:rPr>
        <w:t>The 3 activities that are included in this week’s bag are a KWL chart, a letter writing activity, and a drawing activity.  The KWL chart is to be done on their own with a non-fiction book of their choice, but the last 2 activities you are welcome to help them.  Each of the activities is to be completed before the book bag is returned on Friday with the books inside of the bag, I encourage you to check and make sure that all of the activities are finished and neat.</w:t>
      </w:r>
    </w:p>
    <w:p w:rsidR="00E45442" w:rsidRDefault="00E45442" w:rsidP="00E45442">
      <w:pPr>
        <w:ind w:firstLine="720"/>
        <w:rPr>
          <w:sz w:val="28"/>
          <w:szCs w:val="28"/>
        </w:rPr>
      </w:pPr>
      <w:r>
        <w:rPr>
          <w:sz w:val="28"/>
          <w:szCs w:val="28"/>
        </w:rPr>
        <w:t>I greatly encourage you to be involved in your child’s reading and literacy development, and this Read to Discover bag is not only educational for them, but possibly for you as well.  More than anything I want your child to have fun and enjoy reading, because the more they enjoy it the more they do it.</w:t>
      </w:r>
    </w:p>
    <w:p w:rsidR="00E45442" w:rsidRDefault="00E45442" w:rsidP="00E45442">
      <w:pPr>
        <w:rPr>
          <w:sz w:val="28"/>
          <w:szCs w:val="28"/>
        </w:rPr>
      </w:pPr>
      <w:r>
        <w:rPr>
          <w:sz w:val="28"/>
          <w:szCs w:val="28"/>
        </w:rPr>
        <w:t>Sincerely,</w:t>
      </w:r>
    </w:p>
    <w:p w:rsidR="00E45442" w:rsidRDefault="00E45442" w:rsidP="00E45442">
      <w:pPr>
        <w:rPr>
          <w:sz w:val="28"/>
          <w:szCs w:val="28"/>
        </w:rPr>
      </w:pPr>
      <w:r>
        <w:rPr>
          <w:sz w:val="28"/>
          <w:szCs w:val="28"/>
        </w:rPr>
        <w:t>Ms. Rickard</w:t>
      </w:r>
    </w:p>
    <w:p w:rsidR="00E45442" w:rsidRDefault="00E45442"/>
    <w:sectPr w:rsidR="00E45442" w:rsidSect="006E23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Andalus">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E4D1B"/>
    <w:multiLevelType w:val="hybridMultilevel"/>
    <w:tmpl w:val="25F6A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E4883"/>
    <w:rsid w:val="002A6EBE"/>
    <w:rsid w:val="002E4883"/>
    <w:rsid w:val="00585AA6"/>
    <w:rsid w:val="006E231F"/>
    <w:rsid w:val="00761C18"/>
    <w:rsid w:val="00E16A0E"/>
    <w:rsid w:val="00E45442"/>
    <w:rsid w:val="00F46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8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544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Frankie</cp:lastModifiedBy>
  <cp:revision>3</cp:revision>
  <dcterms:created xsi:type="dcterms:W3CDTF">2010-02-20T20:59:00Z</dcterms:created>
  <dcterms:modified xsi:type="dcterms:W3CDTF">2010-03-01T01:04:00Z</dcterms:modified>
</cp:coreProperties>
</file>